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A5F6" w14:textId="77777777" w:rsidR="001A72A2" w:rsidRDefault="001A72A2" w:rsidP="001A72A2">
      <w:pPr>
        <w:pStyle w:val="Titel"/>
        <w:rPr>
          <w:rStyle w:val="Kop1Teken"/>
          <w:b w:val="0"/>
          <w:bCs w:val="0"/>
          <w:color w:val="33473C" w:themeColor="text2" w:themeShade="BF"/>
          <w:sz w:val="52"/>
          <w:szCs w:val="52"/>
        </w:rPr>
      </w:pPr>
      <w:r w:rsidRPr="001A72A2">
        <w:rPr>
          <w:rStyle w:val="Kop1Teken"/>
          <w:b w:val="0"/>
          <w:bCs w:val="0"/>
          <w:color w:val="33473C" w:themeColor="text2" w:themeShade="BF"/>
          <w:sz w:val="52"/>
          <w:szCs w:val="52"/>
        </w:rPr>
        <w:t>ANBI publicatieplicht</w:t>
      </w:r>
    </w:p>
    <w:p w14:paraId="67B46FF6" w14:textId="0CA8B8C2" w:rsidR="00A82556" w:rsidRPr="00A82556" w:rsidRDefault="00A82556" w:rsidP="00A82556">
      <w:pPr>
        <w:pStyle w:val="Ondertitel"/>
      </w:pPr>
      <w:r>
        <w:t>November 2017</w:t>
      </w:r>
    </w:p>
    <w:p w14:paraId="2DA77A7E" w14:textId="77777777" w:rsidR="00D647CC" w:rsidRDefault="00D647CC" w:rsidP="00B26514">
      <w:pPr>
        <w:pStyle w:val="Kop1"/>
        <w:rPr>
          <w:rStyle w:val="Kop1Teken"/>
          <w:b/>
          <w:bCs/>
        </w:rPr>
      </w:pPr>
      <w:r>
        <w:rPr>
          <w:rStyle w:val="Kop1Teken"/>
          <w:b/>
          <w:bCs/>
        </w:rPr>
        <w:t>Gegevens</w:t>
      </w:r>
    </w:p>
    <w:p w14:paraId="7ECE0B2E" w14:textId="17FAB30D" w:rsidR="004930DD" w:rsidRPr="00D647CC" w:rsidRDefault="00B26514" w:rsidP="00D647CC">
      <w:r w:rsidRPr="00D647CC">
        <w:t>Naam instelling</w:t>
      </w:r>
      <w:r w:rsidR="00D647CC" w:rsidRPr="00D647CC">
        <w:t xml:space="preserve">: </w:t>
      </w:r>
      <w:r w:rsidR="00D647CC" w:rsidRPr="00D647CC">
        <w:tab/>
      </w:r>
      <w:r w:rsidR="0034185A" w:rsidRPr="00D647CC">
        <w:t xml:space="preserve">Stichting </w:t>
      </w:r>
      <w:r w:rsidR="004930DD" w:rsidRPr="00D647CC">
        <w:t>Het Groene Brein</w:t>
      </w:r>
    </w:p>
    <w:p w14:paraId="75462619" w14:textId="6E917F56" w:rsidR="00B26514" w:rsidRPr="00D647CC" w:rsidRDefault="00B26514" w:rsidP="00D647CC">
      <w:r w:rsidRPr="00D647CC">
        <w:t>RSIN</w:t>
      </w:r>
      <w:r w:rsidR="00D647CC">
        <w:t>:</w:t>
      </w:r>
      <w:r w:rsidR="00D647CC">
        <w:tab/>
      </w:r>
      <w:r w:rsidR="00D647CC">
        <w:tab/>
      </w:r>
      <w:r w:rsidR="00D647CC">
        <w:tab/>
      </w:r>
      <w:r w:rsidR="004930DD" w:rsidRPr="00D647CC">
        <w:t>853483632</w:t>
      </w:r>
      <w:r w:rsidRPr="00D647CC">
        <w:t xml:space="preserve"> </w:t>
      </w:r>
    </w:p>
    <w:p w14:paraId="1F307E27" w14:textId="77EEF645" w:rsidR="004930DD" w:rsidRPr="00D647CC" w:rsidRDefault="004930DD" w:rsidP="00D647CC">
      <w:r w:rsidRPr="00D647CC">
        <w:t xml:space="preserve">Postadres: </w:t>
      </w:r>
      <w:r w:rsidR="006955B8" w:rsidRPr="00D647CC">
        <w:tab/>
      </w:r>
      <w:r w:rsidR="00D647CC">
        <w:tab/>
      </w:r>
      <w:r w:rsidRPr="00D647CC">
        <w:t>Zuid-Hollandlaan 7, 2596 AL 's-Gravenhage</w:t>
      </w:r>
      <w:r w:rsidRPr="00D647CC">
        <w:br/>
        <w:t>Ema</w:t>
      </w:r>
      <w:r w:rsidR="005C65E5" w:rsidRPr="00D647CC">
        <w:t xml:space="preserve">iladres: </w:t>
      </w:r>
      <w:r w:rsidR="006955B8" w:rsidRPr="00D647CC">
        <w:tab/>
      </w:r>
      <w:r w:rsidR="00D647CC">
        <w:tab/>
      </w:r>
      <w:r w:rsidR="005C65E5" w:rsidRPr="00D647CC">
        <w:t>info@hetgroenebrein.nl</w:t>
      </w:r>
    </w:p>
    <w:p w14:paraId="1106C041" w14:textId="4B0A495E" w:rsidR="00D647CC" w:rsidRDefault="00D647CC" w:rsidP="00D647CC">
      <w:pPr>
        <w:pStyle w:val="Kop1"/>
      </w:pPr>
      <w:r>
        <w:t>Doelstelling</w:t>
      </w:r>
    </w:p>
    <w:p w14:paraId="6CCA807B" w14:textId="43F57AAA" w:rsidR="00D647CC" w:rsidRPr="00263EBB" w:rsidRDefault="00D647CC" w:rsidP="00D647CC">
      <w:pPr>
        <w:pStyle w:val="Kop2"/>
      </w:pPr>
      <w:r w:rsidRPr="00263EBB">
        <w:t xml:space="preserve">Missie </w:t>
      </w:r>
    </w:p>
    <w:p w14:paraId="7A44AABE" w14:textId="77777777" w:rsidR="00D647CC" w:rsidRPr="00D647CC" w:rsidRDefault="00D647CC" w:rsidP="00D647CC">
      <w:pPr>
        <w:rPr>
          <w:i/>
        </w:rPr>
      </w:pPr>
      <w:r w:rsidRPr="00D647CC">
        <w:rPr>
          <w:i/>
        </w:rPr>
        <w:t>De missie van HGB is om de nieuwe economie versneld te realiseren.</w:t>
      </w:r>
    </w:p>
    <w:p w14:paraId="065626E0" w14:textId="7CE54307" w:rsidR="00D647CC" w:rsidRPr="00D647CC" w:rsidRDefault="00D647CC" w:rsidP="00D647CC">
      <w:pPr>
        <w:rPr>
          <w:i/>
        </w:rPr>
      </w:pPr>
      <w:r w:rsidRPr="00D647CC">
        <w:t xml:space="preserve">Om de nieuwe economie te </w:t>
      </w:r>
      <w:r w:rsidRPr="00D647CC">
        <w:t>versneld te realiseren</w:t>
      </w:r>
      <w:r w:rsidRPr="00D647CC">
        <w:t xml:space="preserve"> constateren wij dat het nodig is dat:</w:t>
      </w:r>
    </w:p>
    <w:p w14:paraId="321E1360" w14:textId="77777777" w:rsidR="00D647CC" w:rsidRPr="00D647CC" w:rsidRDefault="00D647CC" w:rsidP="00D647CC">
      <w:pPr>
        <w:numPr>
          <w:ilvl w:val="0"/>
          <w:numId w:val="16"/>
        </w:numPr>
        <w:spacing w:after="0" w:line="240" w:lineRule="auto"/>
      </w:pPr>
      <w:r w:rsidRPr="00D647CC">
        <w:t>Wetenschap haar rol in het ontwikkelen van kennis op macro-, meso- en microniveau voor de nieuwe economie oppakt;</w:t>
      </w:r>
    </w:p>
    <w:p w14:paraId="46DA25F6" w14:textId="77777777" w:rsidR="00D647CC" w:rsidRPr="00D647CC" w:rsidRDefault="00D647CC" w:rsidP="00D647CC">
      <w:pPr>
        <w:numPr>
          <w:ilvl w:val="0"/>
          <w:numId w:val="16"/>
        </w:numPr>
        <w:spacing w:after="0" w:line="240" w:lineRule="auto"/>
      </w:pPr>
      <w:r w:rsidRPr="00D647CC">
        <w:t>Kennisontwikkeling interdisciplinair wordt aangepakt;</w:t>
      </w:r>
    </w:p>
    <w:p w14:paraId="28421B47" w14:textId="4C752B3E" w:rsidR="00D647CC" w:rsidRPr="00D647CC" w:rsidRDefault="00D647CC" w:rsidP="00D647CC">
      <w:pPr>
        <w:numPr>
          <w:ilvl w:val="0"/>
          <w:numId w:val="16"/>
        </w:numPr>
        <w:spacing w:after="0" w:line="240" w:lineRule="auto"/>
      </w:pPr>
      <w:r w:rsidRPr="00D647CC">
        <w:t xml:space="preserve">Er intensieve samenwerking plaatsvindt tussen wetenschap en praktijk. </w:t>
      </w:r>
    </w:p>
    <w:p w14:paraId="0B1D4C43" w14:textId="3B6FB1F6" w:rsidR="00D647CC" w:rsidRPr="00263EBB" w:rsidRDefault="00D647CC" w:rsidP="00D647CC">
      <w:pPr>
        <w:pStyle w:val="Kop2"/>
      </w:pPr>
      <w:bookmarkStart w:id="0" w:name="_Toc279129228"/>
      <w:bookmarkStart w:id="1" w:name="_Toc279219141"/>
      <w:r w:rsidRPr="00263EBB">
        <w:t>Doel</w:t>
      </w:r>
      <w:bookmarkEnd w:id="0"/>
      <w:bookmarkEnd w:id="1"/>
    </w:p>
    <w:p w14:paraId="60E7409D" w14:textId="64AD6720" w:rsidR="00D647CC" w:rsidRPr="00D647CC" w:rsidRDefault="00D647CC" w:rsidP="00D647CC">
      <w:pPr>
        <w:rPr>
          <w:bCs/>
        </w:rPr>
      </w:pPr>
      <w:r w:rsidRPr="00D647CC">
        <w:rPr>
          <w:bCs/>
        </w:rPr>
        <w:t>De lange-termijndoelstelling van HGB is om de nieuwe economie versneld te realiseren door kennis te ontwikkelen voor en toe te passen bij partijen die de nieuwe economie vandaag al realiseren, zowel op micro-, meso- als macroniveau.</w:t>
      </w:r>
    </w:p>
    <w:p w14:paraId="7130D81C" w14:textId="4608BB7F" w:rsidR="00D647CC" w:rsidRPr="00D647CC" w:rsidRDefault="00D647CC" w:rsidP="00D647CC">
      <w:pPr>
        <w:rPr>
          <w:i/>
        </w:rPr>
      </w:pPr>
      <w:r w:rsidRPr="00D647CC">
        <w:rPr>
          <w:i/>
        </w:rPr>
        <w:t>De doelstelling voor de komende drie jaar is om kennis op het terrein van de nieuwe economie te vergroten, te verbinden en direct toe te passen binnen de praktijk van ondernemers die concreet werken aan de nieuwe economie. Zowel in het MKB, bij grote bedrijven, start ups, coöperaties van burgers als social enterprises.</w:t>
      </w:r>
    </w:p>
    <w:p w14:paraId="10B5635F" w14:textId="5ECEF0B7" w:rsidR="00D647CC" w:rsidRPr="00D647CC" w:rsidRDefault="00D647CC" w:rsidP="00D647CC">
      <w:r w:rsidRPr="00D647CC">
        <w:t>Anders gezegd: het realiseren van radicale innovaties richting de nieuwe economie door het verbinden van wetenschappers in interdisciplinaire teams aan vraagstukken uit de praktijk.</w:t>
      </w:r>
    </w:p>
    <w:p w14:paraId="19B1F407" w14:textId="470AFAEA" w:rsidR="00D647CC" w:rsidRPr="007E39AC" w:rsidRDefault="00D647CC" w:rsidP="00D647CC">
      <w:pPr>
        <w:pStyle w:val="Kop2"/>
        <w:rPr>
          <w:b/>
        </w:rPr>
      </w:pPr>
      <w:bookmarkStart w:id="2" w:name="_Toc279129227"/>
      <w:bookmarkStart w:id="3" w:name="_Toc279219140"/>
      <w:r w:rsidRPr="007E39AC">
        <w:t>Visie van Het Groene Brein</w:t>
      </w:r>
      <w:bookmarkEnd w:id="2"/>
      <w:bookmarkEnd w:id="3"/>
      <w:r w:rsidRPr="007E39AC">
        <w:t>: Grote vraagstukken vragen om een nieuw innovatiesysteem</w:t>
      </w:r>
    </w:p>
    <w:p w14:paraId="5AEB7314" w14:textId="77777777" w:rsidR="00D647CC" w:rsidRPr="00D647CC" w:rsidRDefault="00D647CC" w:rsidP="00D647CC">
      <w:r w:rsidRPr="00D647CC">
        <w:t>Het Groene Brein richt zich op vraagstukken rondom de nieuwe economie. Deze zijn bijeengebracht in de Sustainable Development Goals (SDG’s): 17 internationaal benoemde grote vraagstukken van de 21</w:t>
      </w:r>
      <w:r w:rsidRPr="00D647CC">
        <w:rPr>
          <w:vertAlign w:val="superscript"/>
        </w:rPr>
        <w:t>ste</w:t>
      </w:r>
      <w:r w:rsidRPr="00D647CC">
        <w:t xml:space="preserve"> eeuw.  De 17 grote vraagstukken van de SDG’s zijn allen complexe en onderling interacterende problemen. </w:t>
      </w:r>
    </w:p>
    <w:p w14:paraId="15AAAB7F" w14:textId="77777777" w:rsidR="00D647CC" w:rsidRPr="00D647CC" w:rsidRDefault="00D647CC" w:rsidP="00D647CC">
      <w:r w:rsidRPr="00D647CC">
        <w:lastRenderedPageBreak/>
        <w:t>De visie van het Groene Brein is dat de systeemdoorbraken die nodig zijn om de grote problemen van de 21</w:t>
      </w:r>
      <w:r w:rsidRPr="00D647CC">
        <w:rPr>
          <w:vertAlign w:val="superscript"/>
        </w:rPr>
        <w:t>ste</w:t>
      </w:r>
      <w:r w:rsidRPr="00D647CC">
        <w:t xml:space="preserve"> eeuw aan te pakken alleen georganiseerd kunnen worden in een innovatiesysteem dat </w:t>
      </w:r>
      <w:r w:rsidRPr="00D647CC">
        <w:rPr>
          <w:i/>
        </w:rPr>
        <w:t>integraal</w:t>
      </w:r>
      <w:r w:rsidRPr="00D647CC">
        <w:t xml:space="preserve">, </w:t>
      </w:r>
      <w:r w:rsidRPr="00D647CC">
        <w:rPr>
          <w:i/>
        </w:rPr>
        <w:t>interdisciplinair</w:t>
      </w:r>
      <w:r w:rsidRPr="00D647CC">
        <w:t xml:space="preserve"> en </w:t>
      </w:r>
      <w:r w:rsidRPr="00D647CC">
        <w:rPr>
          <w:i/>
        </w:rPr>
        <w:t xml:space="preserve">transformatief </w:t>
      </w:r>
      <w:r w:rsidRPr="00D647CC">
        <w:t>van aard is:</w:t>
      </w:r>
    </w:p>
    <w:p w14:paraId="4F81E9D3" w14:textId="77777777" w:rsidR="00D647CC" w:rsidRPr="00D647CC" w:rsidRDefault="00D647CC" w:rsidP="00D647CC">
      <w:pPr>
        <w:pStyle w:val="Lijstalinea"/>
        <w:numPr>
          <w:ilvl w:val="0"/>
          <w:numId w:val="17"/>
        </w:numPr>
        <w:spacing w:after="0" w:line="240" w:lineRule="auto"/>
      </w:pPr>
      <w:r w:rsidRPr="00D647CC">
        <w:rPr>
          <w:color w:val="86A795" w:themeColor="text2" w:themeTint="99"/>
        </w:rPr>
        <w:t>Integraal</w:t>
      </w:r>
      <w:r w:rsidRPr="00D647CC">
        <w:t>: Innovaties overstijgen de belangen en mogelijkheden van de losse ‘kokers’ in de wetenschap, het bedrijfsleven en de overheid en hebben geen negatieve trade off naar andere doelen uit de SDG’s;</w:t>
      </w:r>
    </w:p>
    <w:p w14:paraId="45F41074" w14:textId="77777777" w:rsidR="00D647CC" w:rsidRPr="00D647CC" w:rsidRDefault="00D647CC" w:rsidP="00D647CC">
      <w:pPr>
        <w:pStyle w:val="Lijstalinea"/>
        <w:numPr>
          <w:ilvl w:val="0"/>
          <w:numId w:val="17"/>
        </w:numPr>
        <w:spacing w:after="0" w:line="240" w:lineRule="auto"/>
      </w:pPr>
      <w:r w:rsidRPr="00D647CC">
        <w:rPr>
          <w:color w:val="86A795" w:themeColor="text2" w:themeTint="99"/>
        </w:rPr>
        <w:t>Interdisciplinair</w:t>
      </w:r>
      <w:r w:rsidRPr="00D647CC">
        <w:t>: Meerdere wetenschappelijke disciplines werken samen aan oplossingen;</w:t>
      </w:r>
    </w:p>
    <w:p w14:paraId="3F2812F3" w14:textId="77777777" w:rsidR="00D647CC" w:rsidRPr="00D647CC" w:rsidRDefault="00D647CC" w:rsidP="00D647CC">
      <w:pPr>
        <w:pStyle w:val="Lijstalinea"/>
        <w:numPr>
          <w:ilvl w:val="0"/>
          <w:numId w:val="17"/>
        </w:numPr>
        <w:spacing w:after="0" w:line="240" w:lineRule="auto"/>
      </w:pPr>
      <w:r w:rsidRPr="00D647CC">
        <w:rPr>
          <w:color w:val="86A795" w:themeColor="text2" w:themeTint="99"/>
        </w:rPr>
        <w:t>Transformatief</w:t>
      </w:r>
      <w:r w:rsidRPr="00D647CC">
        <w:t>: Innovaties gaan voorbij incrementele stappen en realiseren een kwantumsprong.</w:t>
      </w:r>
    </w:p>
    <w:p w14:paraId="7F6BC1D3" w14:textId="77777777" w:rsidR="00D647CC" w:rsidRPr="00263EBB" w:rsidRDefault="00D647CC" w:rsidP="00D647CC">
      <w:r>
        <w:t>Op deze manier wordt gew</w:t>
      </w:r>
      <w:r w:rsidRPr="00263EBB">
        <w:t xml:space="preserve">erkt aan doorbraken die een positief effect hebben op meerdere sectoren en meerdere problemen, en realiseren een kwantumsprong op een SDG. Niet in drie klappen één vlieg slaan, maar in één klap drie. </w:t>
      </w:r>
    </w:p>
    <w:p w14:paraId="63F7BBC7" w14:textId="0205B10D" w:rsidR="00D647CC" w:rsidRPr="00263EBB" w:rsidRDefault="00D647CC" w:rsidP="00D647CC">
      <w:pPr>
        <w:pStyle w:val="Kop2"/>
      </w:pPr>
      <w:r>
        <w:t>Werkwijze</w:t>
      </w:r>
    </w:p>
    <w:p w14:paraId="31EBB283" w14:textId="77777777" w:rsidR="00D647CC" w:rsidRPr="00263EBB" w:rsidRDefault="00D647CC" w:rsidP="00D647CC">
      <w:r w:rsidRPr="00263EBB">
        <w:t xml:space="preserve">Om te werken aan onze visie hebben we wetenschappers met een grote mate van disciplinaire expertise op persoonlijke titel gevraagd om lid te worden van ons netwerk. Inmiddels zijn de wetenschappers afkomstig van alle Nederlandse universiteiten, 16 hogescholen en vanuit alle denkbare disciplines die van belang zijn voor de SDG’s. Met de wetenschappers uit ons netwerk werken we aan complexe vraagstukken die integraal en transformatief van aard zijn. </w:t>
      </w:r>
    </w:p>
    <w:p w14:paraId="3A2C10AD" w14:textId="77777777" w:rsidR="00D647CC" w:rsidRPr="00263EBB" w:rsidRDefault="00D647CC" w:rsidP="00D647CC">
      <w:r w:rsidRPr="00263EBB">
        <w:t>Deze interdisciplinaire samenwerking wordt op verschillende manieren tot stand gebracht. Grofweg verdeelt dit zich in vier verschillende aanpakken:</w:t>
      </w:r>
    </w:p>
    <w:p w14:paraId="47888275" w14:textId="77777777" w:rsidR="00D647CC" w:rsidRPr="00D647CC" w:rsidRDefault="00D647CC" w:rsidP="00D647CC">
      <w:pPr>
        <w:pStyle w:val="Lijstalinea"/>
        <w:numPr>
          <w:ilvl w:val="0"/>
          <w:numId w:val="18"/>
        </w:numPr>
        <w:spacing w:after="0" w:line="240" w:lineRule="auto"/>
        <w:rPr>
          <w:rFonts w:ascii="Calibri" w:hAnsi="Calibri"/>
        </w:rPr>
      </w:pPr>
      <w:r w:rsidRPr="00D647CC">
        <w:rPr>
          <w:rFonts w:ascii="Calibri" w:hAnsi="Calibri"/>
          <w:i/>
          <w:color w:val="86A795" w:themeColor="text2" w:themeTint="99"/>
        </w:rPr>
        <w:t>Visies op systeemniveau, envisioning change</w:t>
      </w:r>
      <w:r w:rsidRPr="00D647CC">
        <w:rPr>
          <w:rFonts w:ascii="Calibri" w:hAnsi="Calibri"/>
        </w:rPr>
        <w:t>:</w:t>
      </w:r>
      <w:r w:rsidRPr="00D647CC">
        <w:rPr>
          <w:rFonts w:ascii="Calibri" w:hAnsi="Calibri"/>
          <w:i/>
        </w:rPr>
        <w:t xml:space="preserve"> </w:t>
      </w:r>
      <w:r w:rsidRPr="00D647CC">
        <w:rPr>
          <w:rFonts w:ascii="Calibri" w:hAnsi="Calibri"/>
        </w:rPr>
        <w:t>Bij de start van grotere systeemvragen bekijken we de vraag vanuit alle kanten en maken we een brede innovatieagenda rondom het onderwerp. Het Groene Brein draagt hieraan bij met visietrajecten op interdisciplinaire thema’s met wetenschappers uit verschillende vakgebieden;</w:t>
      </w:r>
    </w:p>
    <w:p w14:paraId="5B019287" w14:textId="77777777" w:rsidR="00D647CC" w:rsidRPr="00D647CC" w:rsidRDefault="00D647CC" w:rsidP="00D647CC">
      <w:pPr>
        <w:pStyle w:val="Lijstalinea"/>
        <w:numPr>
          <w:ilvl w:val="0"/>
          <w:numId w:val="18"/>
        </w:numPr>
        <w:spacing w:after="0" w:line="240" w:lineRule="auto"/>
        <w:rPr>
          <w:rFonts w:ascii="Calibri" w:hAnsi="Calibri"/>
        </w:rPr>
      </w:pPr>
      <w:r w:rsidRPr="00D647CC">
        <w:rPr>
          <w:rFonts w:ascii="Calibri" w:hAnsi="Calibri"/>
          <w:i/>
          <w:color w:val="86A795" w:themeColor="text2" w:themeTint="99"/>
        </w:rPr>
        <w:t>Vragen vanuit de praktijk</w:t>
      </w:r>
      <w:r w:rsidRPr="00D647CC">
        <w:rPr>
          <w:rFonts w:ascii="Calibri" w:hAnsi="Calibri"/>
        </w:rPr>
        <w:t xml:space="preserve">: Gelukkig zijn er partijen, zoals koplopende bedrijven, die wel naar systeemdoorbraken streven. Deze vragen worden neergelegd bij een interdisciplinair groepje van wetenschappers, zonder zware overhead of grote nieuwe onderzoeken. Gewoon </w:t>
      </w:r>
      <w:r w:rsidRPr="00D647CC">
        <w:rPr>
          <w:rFonts w:ascii="Calibri" w:hAnsi="Calibri"/>
          <w:i/>
        </w:rPr>
        <w:t>hands-on</w:t>
      </w:r>
      <w:r w:rsidRPr="00D647CC">
        <w:rPr>
          <w:rFonts w:ascii="Calibri" w:hAnsi="Calibri"/>
        </w:rPr>
        <w:t>, slim nadenken over de beste aanpak voor de systeemvragen van een partij. Om dit te faciliteren kunnen interdisciplinaire vragen rondom duurzaamheid worden voorgelegd aan het netwerk van wetenschappers van Het Groene Brein;</w:t>
      </w:r>
    </w:p>
    <w:p w14:paraId="665F1E95" w14:textId="77777777" w:rsidR="00D647CC" w:rsidRPr="00D647CC" w:rsidRDefault="00D647CC" w:rsidP="00D647CC">
      <w:pPr>
        <w:pStyle w:val="Lijstalinea"/>
        <w:numPr>
          <w:ilvl w:val="0"/>
          <w:numId w:val="18"/>
        </w:numPr>
        <w:spacing w:after="0" w:line="240" w:lineRule="auto"/>
        <w:rPr>
          <w:rFonts w:ascii="Calibri" w:hAnsi="Calibri"/>
        </w:rPr>
      </w:pPr>
      <w:r w:rsidRPr="00D647CC">
        <w:rPr>
          <w:rFonts w:ascii="Calibri" w:hAnsi="Calibri"/>
          <w:i/>
          <w:color w:val="86A795" w:themeColor="text2" w:themeTint="99"/>
        </w:rPr>
        <w:t>Opschaling</w:t>
      </w:r>
      <w:r w:rsidRPr="00D647CC">
        <w:rPr>
          <w:rFonts w:ascii="Calibri" w:hAnsi="Calibri"/>
        </w:rPr>
        <w:t xml:space="preserve">: Is er eenmaal een goede en integrale aanpak </w:t>
      </w:r>
      <w:r w:rsidRPr="00D647CC">
        <w:rPr>
          <w:rFonts w:ascii="Calibri" w:hAnsi="Calibri"/>
          <w:i/>
        </w:rPr>
        <w:t>bottom-up</w:t>
      </w:r>
      <w:r w:rsidRPr="00D647CC">
        <w:rPr>
          <w:rFonts w:ascii="Calibri" w:hAnsi="Calibri"/>
        </w:rPr>
        <w:t xml:space="preserve"> ontstaan bij een bedrijf, dan is het heel goed mogelijk om deze schaal te geven. Het geven van deze schaal past weer heel goed binnen het bestaande innovatiesysteem van disciplines. Opschaling kan worden bereikt door een werkend concept te introduceren bij andere spelers in het systeem.</w:t>
      </w:r>
    </w:p>
    <w:p w14:paraId="2BD4FEC2" w14:textId="4137DC2F" w:rsidR="00D647CC" w:rsidRPr="00D647CC" w:rsidRDefault="00D647CC" w:rsidP="00D647CC">
      <w:pPr>
        <w:pStyle w:val="Lijstalinea"/>
        <w:numPr>
          <w:ilvl w:val="0"/>
          <w:numId w:val="18"/>
        </w:numPr>
        <w:spacing w:after="0" w:line="240" w:lineRule="auto"/>
        <w:rPr>
          <w:rFonts w:ascii="Calibri" w:hAnsi="Calibri"/>
        </w:rPr>
      </w:pPr>
      <w:r w:rsidRPr="00D647CC">
        <w:rPr>
          <w:rFonts w:ascii="Calibri" w:hAnsi="Calibri"/>
          <w:i/>
          <w:color w:val="86A795" w:themeColor="text2" w:themeTint="99"/>
        </w:rPr>
        <w:t>Realisatie</w:t>
      </w:r>
      <w:r w:rsidRPr="00D647CC">
        <w:rPr>
          <w:rFonts w:ascii="Calibri" w:hAnsi="Calibri"/>
          <w:i/>
        </w:rPr>
        <w:t>:</w:t>
      </w:r>
      <w:r w:rsidRPr="00D647CC">
        <w:rPr>
          <w:rFonts w:ascii="Calibri" w:hAnsi="Calibri"/>
        </w:rPr>
        <w:t xml:space="preserve"> wanneer er een heldere visie ligt is het van belang dat deze wordt verspreid om ook van kracht te zijn. Door middel van communicatie, publicatie en promotie van een visie wordt het draagvlak voor deze visie verbreed. Hier werken we aan door kenniskaarten te maken, publicaties te delen met onze leden en actief naar publicatiemogelijkheden te zoeken in de media, en de gemaakte visies in te zetten in projecten als uitgangspunt voor actie.</w:t>
      </w:r>
    </w:p>
    <w:p w14:paraId="253E2535" w14:textId="77777777" w:rsidR="00D647CC" w:rsidRPr="00D647CC" w:rsidRDefault="00D647CC" w:rsidP="00D647CC">
      <w:pPr>
        <w:jc w:val="center"/>
        <w:rPr>
          <w:rFonts w:ascii="Calibri" w:hAnsi="Calibri"/>
        </w:rPr>
      </w:pPr>
      <w:r w:rsidRPr="00D647CC">
        <w:rPr>
          <w:rFonts w:ascii="Calibri" w:hAnsi="Calibri"/>
          <w:noProof/>
          <w:lang w:eastAsia="nl-NL"/>
        </w:rPr>
        <w:lastRenderedPageBreak/>
        <w:drawing>
          <wp:inline distT="0" distB="0" distL="0" distR="0" wp14:anchorId="3C1C789B" wp14:editId="2B4BABB3">
            <wp:extent cx="4110052" cy="2225040"/>
            <wp:effectExtent l="19050" t="0" r="474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21606" t="26554" r="22973" b="20130"/>
                    <a:stretch>
                      <a:fillRect/>
                    </a:stretch>
                  </pic:blipFill>
                  <pic:spPr bwMode="auto">
                    <a:xfrm>
                      <a:off x="0" y="0"/>
                      <a:ext cx="4113572" cy="2226946"/>
                    </a:xfrm>
                    <a:prstGeom prst="rect">
                      <a:avLst/>
                    </a:prstGeom>
                    <a:noFill/>
                    <a:ln w="9525">
                      <a:noFill/>
                      <a:miter lim="800000"/>
                      <a:headEnd/>
                      <a:tailEnd/>
                    </a:ln>
                  </pic:spPr>
                </pic:pic>
              </a:graphicData>
            </a:graphic>
          </wp:inline>
        </w:drawing>
      </w:r>
    </w:p>
    <w:p w14:paraId="5C2615BA" w14:textId="0035AE01" w:rsidR="00D647CC" w:rsidRPr="00D647CC" w:rsidRDefault="00D647CC" w:rsidP="00D647CC">
      <w:pPr>
        <w:rPr>
          <w:rFonts w:ascii="Calibri" w:hAnsi="Calibri"/>
        </w:rPr>
      </w:pPr>
      <w:r w:rsidRPr="00D647CC">
        <w:rPr>
          <w:rFonts w:ascii="Calibri" w:hAnsi="Calibri"/>
        </w:rPr>
        <w:t>In 2016 is hard gewerkt om een aantal grotere programma’s rondom bovenstaande indeling op te zetten waarin, samen met anderen, intensief gewerkt wordt aan de nieuwe economie. Programma’s waarin een interdisciplinaire aanpak centraal staat en wetenschappers</w:t>
      </w:r>
      <w:r w:rsidRPr="00D647CC">
        <w:rPr>
          <w:rFonts w:ascii="Calibri" w:hAnsi="Calibri"/>
        </w:rPr>
        <w:t xml:space="preserve"> een essentiële rol vervullen. Ook p</w:t>
      </w:r>
      <w:r w:rsidRPr="00D647CC">
        <w:rPr>
          <w:rFonts w:ascii="Calibri" w:hAnsi="Calibri"/>
        </w:rPr>
        <w:t xml:space="preserve">rogramma’s waar Het Groene Brein de initiator van is en in de uitvoering vooral de rol van verbinder en matchmaker heeft. Per project </w:t>
      </w:r>
      <w:r w:rsidRPr="00D647CC">
        <w:rPr>
          <w:rFonts w:ascii="Calibri" w:hAnsi="Calibri"/>
        </w:rPr>
        <w:t>worden partners</w:t>
      </w:r>
      <w:r w:rsidRPr="00D647CC">
        <w:rPr>
          <w:rFonts w:ascii="Calibri" w:hAnsi="Calibri"/>
        </w:rPr>
        <w:t xml:space="preserve"> gevonden die het grootste deel van de</w:t>
      </w:r>
      <w:r w:rsidRPr="00D647CC">
        <w:rPr>
          <w:rFonts w:ascii="Calibri" w:hAnsi="Calibri"/>
        </w:rPr>
        <w:t xml:space="preserve"> projectuitvoering ter hand nemen</w:t>
      </w:r>
      <w:r w:rsidRPr="00D647CC">
        <w:rPr>
          <w:rFonts w:ascii="Calibri" w:hAnsi="Calibri"/>
        </w:rPr>
        <w:t xml:space="preserve">. Zo bereiken we veel impact, en blijven we dicht bij onze eigen kracht: verbinden, interdisciplinaire en intersectorale samenwerking, opgezet vanuit een heldere visie. </w:t>
      </w:r>
    </w:p>
    <w:p w14:paraId="77C33805" w14:textId="72738AD3" w:rsidR="005C65E5" w:rsidRDefault="004930DD" w:rsidP="00D647CC">
      <w:pPr>
        <w:pStyle w:val="Kop1"/>
      </w:pPr>
      <w:r w:rsidRPr="00D647CC">
        <w:t>S</w:t>
      </w:r>
      <w:r w:rsidR="00B26514" w:rsidRPr="00D647CC">
        <w:t xml:space="preserve">tatutaire </w:t>
      </w:r>
      <w:r w:rsidR="005C65E5" w:rsidRPr="00D647CC">
        <w:t>Raad van Toezicht</w:t>
      </w:r>
    </w:p>
    <w:p w14:paraId="675BC8A5" w14:textId="472D521C" w:rsidR="00D647CC" w:rsidRPr="00D647CC" w:rsidRDefault="00D647CC" w:rsidP="00D647CC">
      <w:r>
        <w:t xml:space="preserve">Deraad van Toezicht bestaat uit 5 leden. </w:t>
      </w:r>
    </w:p>
    <w:p w14:paraId="17491BD8" w14:textId="77777777" w:rsidR="005C65E5" w:rsidRDefault="004930DD" w:rsidP="00F26CE0">
      <w:pPr>
        <w:pStyle w:val="Geenafstand"/>
      </w:pPr>
      <w:r w:rsidRPr="00B26514">
        <w:t xml:space="preserve">Marga Hoek </w:t>
      </w:r>
      <w:r w:rsidR="00392BFE" w:rsidRPr="00B26514">
        <w:t>–</w:t>
      </w:r>
      <w:r w:rsidRPr="00B26514">
        <w:t xml:space="preserve"> voorzitter</w:t>
      </w:r>
      <w:r w:rsidR="00392BFE" w:rsidRPr="00B26514">
        <w:t xml:space="preserve"> </w:t>
      </w:r>
      <w:r w:rsidRPr="00B26514">
        <w:br/>
        <w:t xml:space="preserve">Marko Hekkert </w:t>
      </w:r>
      <w:r w:rsidR="005C65E5">
        <w:t>– lid</w:t>
      </w:r>
    </w:p>
    <w:p w14:paraId="6ABDE30A" w14:textId="77777777" w:rsidR="004930DD" w:rsidRDefault="00B26514" w:rsidP="00F26CE0">
      <w:pPr>
        <w:pStyle w:val="Geenafstand"/>
      </w:pPr>
      <w:r w:rsidRPr="00B26514">
        <w:t xml:space="preserve">Carla Moonen – </w:t>
      </w:r>
      <w:r w:rsidR="005C65E5">
        <w:t>lid</w:t>
      </w:r>
    </w:p>
    <w:p w14:paraId="11BBF1F8" w14:textId="77777777" w:rsidR="005C65E5" w:rsidRDefault="005C65E5" w:rsidP="00F26CE0">
      <w:pPr>
        <w:pStyle w:val="Geenafstand"/>
      </w:pPr>
      <w:r>
        <w:t xml:space="preserve">Herman Mulder </w:t>
      </w:r>
      <w:r w:rsidR="00F26CE0">
        <w:t>–</w:t>
      </w:r>
      <w:r>
        <w:t xml:space="preserve"> lid</w:t>
      </w:r>
    </w:p>
    <w:p w14:paraId="723E69D1" w14:textId="77777777" w:rsidR="00F26CE0" w:rsidRPr="00B26514" w:rsidRDefault="00F26CE0" w:rsidP="00F26CE0">
      <w:pPr>
        <w:pStyle w:val="Geenafstand"/>
      </w:pPr>
      <w:r>
        <w:t>Rob Hamer - lid</w:t>
      </w:r>
    </w:p>
    <w:p w14:paraId="5F6E7601" w14:textId="77777777" w:rsidR="00B03AE0" w:rsidRPr="00B26514" w:rsidRDefault="004930DD" w:rsidP="00B26514">
      <w:pPr>
        <w:pStyle w:val="Kop1"/>
      </w:pPr>
      <w:r w:rsidRPr="00B26514">
        <w:rPr>
          <w:rStyle w:val="Zwaar"/>
          <w:b/>
          <w:bCs/>
        </w:rPr>
        <w:t>Actueel verslag va</w:t>
      </w:r>
      <w:r w:rsidR="00B26514">
        <w:rPr>
          <w:rStyle w:val="Zwaar"/>
          <w:b/>
          <w:bCs/>
        </w:rPr>
        <w:t>n de uitgeoefende activiteiten</w:t>
      </w:r>
    </w:p>
    <w:p w14:paraId="0641A8BB" w14:textId="5257ECA6" w:rsidR="00A82556" w:rsidRDefault="00A82556" w:rsidP="00B26514">
      <w:pPr>
        <w:rPr>
          <w:rFonts w:eastAsia="Times New Roman" w:cs="Arial"/>
        </w:rPr>
      </w:pPr>
      <w:r>
        <w:rPr>
          <w:rFonts w:eastAsia="Times New Roman" w:cs="Arial"/>
        </w:rPr>
        <w:t>Een indruk van de activiteiten van Het Groene Bre</w:t>
      </w:r>
      <w:r w:rsidR="00D647CC">
        <w:rPr>
          <w:rFonts w:eastAsia="Times New Roman" w:cs="Arial"/>
        </w:rPr>
        <w:t xml:space="preserve">in van 2016 </w:t>
      </w:r>
      <w:r>
        <w:rPr>
          <w:rFonts w:eastAsia="Times New Roman" w:cs="Arial"/>
        </w:rPr>
        <w:t xml:space="preserve">is te vinden in het </w:t>
      </w:r>
      <w:hyperlink r:id="rId8" w:history="1">
        <w:r w:rsidRPr="00A82556">
          <w:rPr>
            <w:rStyle w:val="Hyperlink"/>
            <w:rFonts w:eastAsia="Times New Roman" w:cs="Arial"/>
          </w:rPr>
          <w:t>Jaarverslag 2016</w:t>
        </w:r>
      </w:hyperlink>
      <w:r>
        <w:rPr>
          <w:rFonts w:eastAsia="Times New Roman" w:cs="Arial"/>
        </w:rPr>
        <w:t xml:space="preserve">. </w:t>
      </w:r>
    </w:p>
    <w:p w14:paraId="2BB1E09A" w14:textId="121E8B47" w:rsidR="00B03AE0" w:rsidRPr="00B26514" w:rsidRDefault="00A82556" w:rsidP="00B26514">
      <w:pPr>
        <w:rPr>
          <w:rFonts w:eastAsia="Times New Roman" w:cs="Arial"/>
        </w:rPr>
      </w:pPr>
      <w:r>
        <w:rPr>
          <w:rFonts w:eastAsia="Times New Roman" w:cs="Arial"/>
        </w:rPr>
        <w:t>I</w:t>
      </w:r>
      <w:r w:rsidR="00B03AE0" w:rsidRPr="00B26514">
        <w:rPr>
          <w:rFonts w:eastAsia="Times New Roman" w:cs="Arial"/>
        </w:rPr>
        <w:t>n onderstaande tabel wordt de ontwikkeling</w:t>
      </w:r>
      <w:r w:rsidR="00D647CC">
        <w:rPr>
          <w:rFonts w:eastAsia="Times New Roman" w:cs="Arial"/>
        </w:rPr>
        <w:t>sinds de oprcihting op 6 november 2012</w:t>
      </w:r>
      <w:r w:rsidR="00B03AE0" w:rsidRPr="00B26514">
        <w:rPr>
          <w:rFonts w:eastAsia="Times New Roman" w:cs="Arial"/>
        </w:rPr>
        <w:t xml:space="preserve"> op hoofdlijnen weergegeven. </w:t>
      </w:r>
    </w:p>
    <w:tbl>
      <w:tblPr>
        <w:tblStyle w:val="Rastertabel5donker-accent1"/>
        <w:tblW w:w="0" w:type="auto"/>
        <w:tblLook w:val="04A0" w:firstRow="1" w:lastRow="0" w:firstColumn="1" w:lastColumn="0" w:noHBand="0" w:noVBand="1"/>
      </w:tblPr>
      <w:tblGrid>
        <w:gridCol w:w="2919"/>
        <w:gridCol w:w="3274"/>
        <w:gridCol w:w="3089"/>
      </w:tblGrid>
      <w:tr w:rsidR="00B26514" w:rsidRPr="00B26514" w14:paraId="718C8EF5" w14:textId="77777777" w:rsidTr="00D647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2023E6C" w14:textId="77777777" w:rsidR="00B03AE0" w:rsidRPr="00B26514" w:rsidRDefault="00B03AE0" w:rsidP="00B26514">
            <w:pPr>
              <w:rPr>
                <w:rFonts w:eastAsia="Times New Roman" w:cs="Arial"/>
              </w:rPr>
            </w:pPr>
          </w:p>
        </w:tc>
        <w:tc>
          <w:tcPr>
            <w:tcW w:w="3274" w:type="dxa"/>
          </w:tcPr>
          <w:p w14:paraId="0B21A435" w14:textId="18713979" w:rsidR="00B03AE0" w:rsidRPr="00B26514" w:rsidRDefault="00D647CC" w:rsidP="00B26514">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b w:val="0"/>
              </w:rPr>
              <w:t xml:space="preserve">eind 2013 </w:t>
            </w:r>
          </w:p>
        </w:tc>
        <w:tc>
          <w:tcPr>
            <w:tcW w:w="3089" w:type="dxa"/>
          </w:tcPr>
          <w:p w14:paraId="24A5391B" w14:textId="6DAFB399" w:rsidR="00B03AE0" w:rsidRPr="00B26514" w:rsidRDefault="00A82556" w:rsidP="00B26514">
            <w:pPr>
              <w:cnfStyle w:val="100000000000" w:firstRow="1" w:lastRow="0" w:firstColumn="0" w:lastColumn="0" w:oddVBand="0" w:evenVBand="0" w:oddHBand="0" w:evenHBand="0" w:firstRowFirstColumn="0" w:firstRowLastColumn="0" w:lastRowFirstColumn="0" w:lastRowLastColumn="0"/>
              <w:rPr>
                <w:rFonts w:eastAsia="Times New Roman" w:cs="Arial"/>
                <w:b w:val="0"/>
              </w:rPr>
            </w:pPr>
            <w:r>
              <w:rPr>
                <w:rFonts w:eastAsia="Times New Roman" w:cs="Arial"/>
                <w:b w:val="0"/>
              </w:rPr>
              <w:t>Eind 2016</w:t>
            </w:r>
          </w:p>
        </w:tc>
      </w:tr>
      <w:tr w:rsidR="00B26514" w:rsidRPr="00B26514" w14:paraId="70A0F070" w14:textId="77777777" w:rsidTr="00D6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38553827" w14:textId="07D84272" w:rsidR="00B03AE0" w:rsidRPr="00B26514" w:rsidRDefault="00A82556" w:rsidP="00B26514">
            <w:pPr>
              <w:rPr>
                <w:rFonts w:eastAsia="Times New Roman" w:cs="Arial"/>
              </w:rPr>
            </w:pPr>
            <w:r>
              <w:rPr>
                <w:rFonts w:eastAsia="Times New Roman" w:cs="Arial"/>
              </w:rPr>
              <w:t xml:space="preserve">Omzet </w:t>
            </w:r>
            <w:r>
              <w:rPr>
                <w:rFonts w:eastAsia="Times New Roman" w:cs="Arial"/>
              </w:rPr>
              <w:t>(€)</w:t>
            </w:r>
          </w:p>
        </w:tc>
        <w:tc>
          <w:tcPr>
            <w:tcW w:w="3274" w:type="dxa"/>
          </w:tcPr>
          <w:p w14:paraId="3858006B" w14:textId="79E26FC7" w:rsidR="00B03AE0" w:rsidRPr="00B26514" w:rsidRDefault="007859C5"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50</w:t>
            </w:r>
            <w:r w:rsidR="001A72A2">
              <w:rPr>
                <w:rFonts w:eastAsia="Times New Roman" w:cs="Arial"/>
              </w:rPr>
              <w:t>.000</w:t>
            </w:r>
          </w:p>
        </w:tc>
        <w:tc>
          <w:tcPr>
            <w:tcW w:w="3089" w:type="dxa"/>
          </w:tcPr>
          <w:p w14:paraId="2314D0F4" w14:textId="058A9FD2" w:rsidR="00B03AE0" w:rsidRPr="00B26514" w:rsidRDefault="007859C5"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646.104,-</w:t>
            </w:r>
          </w:p>
        </w:tc>
      </w:tr>
      <w:tr w:rsidR="00B26514" w:rsidRPr="00B26514" w14:paraId="4FC5AABE" w14:textId="77777777" w:rsidTr="00D647CC">
        <w:tc>
          <w:tcPr>
            <w:cnfStyle w:val="001000000000" w:firstRow="0" w:lastRow="0" w:firstColumn="1" w:lastColumn="0" w:oddVBand="0" w:evenVBand="0" w:oddHBand="0" w:evenHBand="0" w:firstRowFirstColumn="0" w:firstRowLastColumn="0" w:lastRowFirstColumn="0" w:lastRowLastColumn="0"/>
            <w:tcW w:w="2919" w:type="dxa"/>
          </w:tcPr>
          <w:p w14:paraId="6F692769" w14:textId="77777777" w:rsidR="00B03AE0" w:rsidRPr="00B26514" w:rsidRDefault="00B03AE0" w:rsidP="00B26514">
            <w:pPr>
              <w:rPr>
                <w:rFonts w:eastAsia="Times New Roman" w:cs="Arial"/>
              </w:rPr>
            </w:pPr>
            <w:r w:rsidRPr="00B26514">
              <w:rPr>
                <w:rFonts w:eastAsia="Times New Roman" w:cs="Arial"/>
              </w:rPr>
              <w:t>Projecten</w:t>
            </w:r>
          </w:p>
        </w:tc>
        <w:tc>
          <w:tcPr>
            <w:tcW w:w="3274" w:type="dxa"/>
          </w:tcPr>
          <w:p w14:paraId="3019D990" w14:textId="4E4984CF" w:rsidR="00B03AE0" w:rsidRPr="00B26514" w:rsidRDefault="007859C5" w:rsidP="00B26514">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5 projecten</w:t>
            </w:r>
          </w:p>
        </w:tc>
        <w:tc>
          <w:tcPr>
            <w:tcW w:w="3089" w:type="dxa"/>
          </w:tcPr>
          <w:p w14:paraId="6ABC2ADF" w14:textId="32F248A6" w:rsidR="00B03AE0" w:rsidRPr="00B26514" w:rsidRDefault="007859C5" w:rsidP="00B26514">
            <w:pPr>
              <w:cnfStyle w:val="000000000000" w:firstRow="0" w:lastRow="0" w:firstColumn="0" w:lastColumn="0" w:oddVBand="0" w:evenVBand="0" w:oddHBand="0" w:evenHBand="0" w:firstRowFirstColumn="0" w:firstRowLastColumn="0" w:lastRowFirstColumn="0" w:lastRowLastColumn="0"/>
              <w:rPr>
                <w:rFonts w:eastAsia="Times New Roman" w:cs="Arial"/>
              </w:rPr>
            </w:pPr>
            <w:r>
              <w:rPr>
                <w:rFonts w:eastAsia="Times New Roman" w:cs="Arial"/>
              </w:rPr>
              <w:t>72 grote en kleine projecten</w:t>
            </w:r>
          </w:p>
        </w:tc>
      </w:tr>
      <w:tr w:rsidR="00B03AE0" w:rsidRPr="00B26514" w14:paraId="590C166C" w14:textId="77777777" w:rsidTr="00D647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19" w:type="dxa"/>
          </w:tcPr>
          <w:p w14:paraId="6D340CEB" w14:textId="77777777" w:rsidR="00B03AE0" w:rsidRPr="00B26514" w:rsidRDefault="00B03AE0" w:rsidP="00B26514">
            <w:pPr>
              <w:rPr>
                <w:rFonts w:eastAsia="Times New Roman" w:cs="Arial"/>
              </w:rPr>
            </w:pPr>
            <w:r w:rsidRPr="00B26514">
              <w:rPr>
                <w:rFonts w:eastAsia="Times New Roman" w:cs="Arial"/>
              </w:rPr>
              <w:t>Wetenschappers lid</w:t>
            </w:r>
          </w:p>
        </w:tc>
        <w:tc>
          <w:tcPr>
            <w:tcW w:w="3274" w:type="dxa"/>
          </w:tcPr>
          <w:p w14:paraId="00E081AB" w14:textId="57678007" w:rsidR="00B03AE0" w:rsidRPr="00B26514" w:rsidRDefault="007859C5"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50</w:t>
            </w:r>
          </w:p>
        </w:tc>
        <w:tc>
          <w:tcPr>
            <w:tcW w:w="3089" w:type="dxa"/>
          </w:tcPr>
          <w:p w14:paraId="3FDB3EFC" w14:textId="0B02D3D7" w:rsidR="00B03AE0" w:rsidRPr="00B26514" w:rsidRDefault="007859C5" w:rsidP="00B26514">
            <w:pPr>
              <w:cnfStyle w:val="000000100000" w:firstRow="0" w:lastRow="0" w:firstColumn="0" w:lastColumn="0" w:oddVBand="0" w:evenVBand="0" w:oddHBand="1" w:evenHBand="0" w:firstRowFirstColumn="0" w:firstRowLastColumn="0" w:lastRowFirstColumn="0" w:lastRowLastColumn="0"/>
              <w:rPr>
                <w:rFonts w:eastAsia="Times New Roman" w:cs="Arial"/>
              </w:rPr>
            </w:pPr>
            <w:r>
              <w:rPr>
                <w:rFonts w:eastAsia="Times New Roman" w:cs="Arial"/>
              </w:rPr>
              <w:t>119</w:t>
            </w:r>
          </w:p>
        </w:tc>
      </w:tr>
    </w:tbl>
    <w:p w14:paraId="5A7B80A0" w14:textId="77777777" w:rsidR="003A0A46" w:rsidRDefault="003A0A46" w:rsidP="00B26514">
      <w:pPr>
        <w:rPr>
          <w:rFonts w:eastAsia="Times New Roman" w:cs="Arial"/>
        </w:rPr>
      </w:pPr>
    </w:p>
    <w:p w14:paraId="0D8F4C56" w14:textId="38D1D6A5" w:rsidR="00D647CC" w:rsidRPr="00D647CC" w:rsidRDefault="007859C5" w:rsidP="00B26514">
      <w:pPr>
        <w:rPr>
          <w:rFonts w:eastAsia="Times New Roman" w:cs="Arial"/>
        </w:rPr>
      </w:pPr>
      <w:r>
        <w:rPr>
          <w:rFonts w:eastAsia="Times New Roman" w:cs="Arial"/>
        </w:rPr>
        <w:t>Eind 2017 wordt er een jaarplan 2018 gepresenteerd en in de loop van begin 2018 zal het jaarverslag over 2017 worden gepresenteerd.</w:t>
      </w:r>
    </w:p>
    <w:p w14:paraId="4211EF15" w14:textId="0D7102EF" w:rsidR="00B03AE0" w:rsidRPr="00B26514" w:rsidRDefault="00B03AE0" w:rsidP="00D647CC">
      <w:pPr>
        <w:pStyle w:val="Kop1"/>
      </w:pPr>
      <w:r w:rsidRPr="00B26514">
        <w:lastRenderedPageBreak/>
        <w:t>Governance</w:t>
      </w:r>
    </w:p>
    <w:p w14:paraId="450DC38F" w14:textId="2F29F8E9" w:rsidR="00B03AE0" w:rsidRPr="00B26514" w:rsidRDefault="00B03AE0" w:rsidP="00B26514">
      <w:pPr>
        <w:rPr>
          <w:i/>
        </w:rPr>
      </w:pPr>
      <w:r w:rsidRPr="00B26514">
        <w:rPr>
          <w:i/>
        </w:rPr>
        <w:t xml:space="preserve">Bezoldiging </w:t>
      </w:r>
      <w:r w:rsidR="00950063">
        <w:rPr>
          <w:i/>
        </w:rPr>
        <w:t>leden Raad van Toezicht</w:t>
      </w:r>
    </w:p>
    <w:p w14:paraId="6BA9C5D4" w14:textId="77777777" w:rsidR="00D647CC" w:rsidRDefault="00D647CC" w:rsidP="00B26514">
      <w:r>
        <w:t>Volgens afspraak worden</w:t>
      </w:r>
      <w:r w:rsidR="00B03AE0" w:rsidRPr="00B26514">
        <w:t xml:space="preserve"> alle functies binnen</w:t>
      </w:r>
      <w:r>
        <w:t xml:space="preserve"> de R</w:t>
      </w:r>
      <w:r w:rsidR="00950063">
        <w:t>aad van Toezicht</w:t>
      </w:r>
      <w:r>
        <w:t xml:space="preserve">  beloond met een bezoldiging. </w:t>
      </w:r>
    </w:p>
    <w:p w14:paraId="68DD14D9" w14:textId="77777777" w:rsidR="00B03AE0" w:rsidRPr="00B26514" w:rsidRDefault="00B03AE0" w:rsidP="00B26514">
      <w:pPr>
        <w:rPr>
          <w:i/>
        </w:rPr>
      </w:pPr>
      <w:r w:rsidRPr="00B26514">
        <w:rPr>
          <w:i/>
        </w:rPr>
        <w:t>Personeel extern</w:t>
      </w:r>
    </w:p>
    <w:p w14:paraId="0475BF99" w14:textId="185C5C9F" w:rsidR="00B03AE0" w:rsidRPr="00B26514" w:rsidRDefault="00B03AE0" w:rsidP="00EE6AF7">
      <w:r w:rsidRPr="00B26514">
        <w:t>Algemene stelregel bij H</w:t>
      </w:r>
      <w:r w:rsidR="00657D69">
        <w:t>GB is dat we activiteiten zo ve</w:t>
      </w:r>
      <w:r w:rsidRPr="00B26514">
        <w:t>e</w:t>
      </w:r>
      <w:r w:rsidR="00657D69">
        <w:t>l</w:t>
      </w:r>
      <w:r w:rsidRPr="00B26514">
        <w:t xml:space="preserve"> mogelijk met leden van ons netwerk uitvoeren.</w:t>
      </w:r>
      <w:r w:rsidR="00657D69">
        <w:t xml:space="preserve"> Dit betekent onder meer dat er </w:t>
      </w:r>
      <w:r w:rsidRPr="00B26514">
        <w:t>zov</w:t>
      </w:r>
      <w:r w:rsidR="00657D69">
        <w:t>eel mogelijk mensen van buiten worden betrokken</w:t>
      </w:r>
      <w:r w:rsidRPr="00B26514">
        <w:t xml:space="preserve"> en zo nodig inhuur om activiteiten mee vorm te geven. Op dit moment zijn er, naast de leden van HGB, diverse externen betrokken bij de uitvoer van activiteiten van HGB</w:t>
      </w:r>
      <w:r w:rsidR="00EE6AF7">
        <w:t>.</w:t>
      </w:r>
    </w:p>
    <w:p w14:paraId="3444003D" w14:textId="25A67C93" w:rsidR="00B03AE0" w:rsidRPr="00B26514" w:rsidRDefault="00B03AE0" w:rsidP="00B26514">
      <w:r w:rsidRPr="00B26514">
        <w:t>Hierb</w:t>
      </w:r>
      <w:r w:rsidR="00CE528B">
        <w:t>ij wordt steeds een performance</w:t>
      </w:r>
      <w:r w:rsidRPr="00B26514">
        <w:t xml:space="preserve">based contract opgesteld (afspraken over gewenste output en impact en het afgesproken bedrag). Contract wordt pas getekend als benodigde financiën formeel zijn geregeld.  </w:t>
      </w:r>
    </w:p>
    <w:p w14:paraId="2FC9EBB8" w14:textId="77777777" w:rsidR="00B03AE0" w:rsidRPr="00B26514" w:rsidRDefault="00B03AE0" w:rsidP="00B26514">
      <w:pPr>
        <w:rPr>
          <w:i/>
        </w:rPr>
      </w:pPr>
      <w:r w:rsidRPr="00B26514">
        <w:rPr>
          <w:i/>
        </w:rPr>
        <w:t>Personeel intern</w:t>
      </w:r>
    </w:p>
    <w:p w14:paraId="7064B73A" w14:textId="59A9C7C0" w:rsidR="00B03AE0" w:rsidRDefault="00B03AE0" w:rsidP="00B26514">
      <w:r w:rsidRPr="00B26514">
        <w:t xml:space="preserve">Naast de externe personen die activiteiten voor HGB vorm geven hebben we op dit moment </w:t>
      </w:r>
      <w:r w:rsidR="00657D69">
        <w:t xml:space="preserve">vijf </w:t>
      </w:r>
      <w:r w:rsidR="00EE6AF7">
        <w:t>medewerkers.</w:t>
      </w:r>
    </w:p>
    <w:p w14:paraId="6160FCF2" w14:textId="0FC882F5" w:rsidR="00657D69" w:rsidRDefault="00657D69" w:rsidP="00D647CC">
      <w:pPr>
        <w:ind w:left="708"/>
      </w:pPr>
      <w:r>
        <w:t>Antoine heideveld – Directeur</w:t>
      </w:r>
    </w:p>
    <w:p w14:paraId="3D24B261" w14:textId="1DF026FF" w:rsidR="00657D69" w:rsidRDefault="00657D69" w:rsidP="00D647CC">
      <w:pPr>
        <w:ind w:left="708"/>
      </w:pPr>
      <w:r>
        <w:t>Mark Beumer – Programmamanager Media &amp; Communicatie</w:t>
      </w:r>
    </w:p>
    <w:p w14:paraId="19AC585F" w14:textId="77777777" w:rsidR="00D647CC" w:rsidRDefault="00D647CC" w:rsidP="00D647CC">
      <w:pPr>
        <w:ind w:left="708"/>
      </w:pPr>
      <w:r>
        <w:t xml:space="preserve">Carien van der Have – projectmanager </w:t>
      </w:r>
    </w:p>
    <w:p w14:paraId="5F92E31B" w14:textId="50AE5D5D" w:rsidR="00657D69" w:rsidRDefault="00657D69" w:rsidP="00D647CC">
      <w:pPr>
        <w:ind w:left="708"/>
      </w:pPr>
      <w:r>
        <w:t>Dianne de Fijter – Projectmedewerker</w:t>
      </w:r>
    </w:p>
    <w:p w14:paraId="58DB3062" w14:textId="7BCA592B" w:rsidR="00657D69" w:rsidRPr="00B26514" w:rsidRDefault="00657D69" w:rsidP="00D647CC">
      <w:pPr>
        <w:ind w:left="708"/>
      </w:pPr>
      <w:r>
        <w:t>Jacqueline de Vent Escalente – Communicatiestrateeg</w:t>
      </w:r>
    </w:p>
    <w:p w14:paraId="62D60D8D" w14:textId="77777777" w:rsidR="00B03AE0" w:rsidRPr="00B26514" w:rsidRDefault="00B03AE0" w:rsidP="00D647CC">
      <w:pPr>
        <w:pStyle w:val="Kop1"/>
      </w:pPr>
      <w:r w:rsidRPr="00B26514">
        <w:t>3. Financieel</w:t>
      </w:r>
    </w:p>
    <w:p w14:paraId="61A72FCA" w14:textId="3289A9EC" w:rsidR="00B61CC3" w:rsidRDefault="00D647CC" w:rsidP="00B26514">
      <w:r>
        <w:t>De eerste jaren van haa</w:t>
      </w:r>
      <w:r w:rsidR="00B61CC3">
        <w:t>r besta</w:t>
      </w:r>
      <w:r w:rsidR="002B61F9">
        <w:t>a</w:t>
      </w:r>
      <w:bookmarkStart w:id="4" w:name="_GoBack"/>
      <w:bookmarkEnd w:id="4"/>
      <w:r w:rsidR="00B61CC3">
        <w:t>n werd Het Groene B</w:t>
      </w:r>
      <w:r>
        <w:t xml:space="preserve">rein deels financieel ondersteund door verschillende partijen die de missie van HGB steunen. </w:t>
      </w:r>
      <w:r w:rsidR="00B03AE0" w:rsidRPr="00B26514">
        <w:t xml:space="preserve">Financieel is </w:t>
      </w:r>
      <w:r w:rsidR="00B61CC3">
        <w:t xml:space="preserve">altijd </w:t>
      </w:r>
      <w:r w:rsidR="00B03AE0" w:rsidRPr="00B26514">
        <w:t>de wens</w:t>
      </w:r>
      <w:r w:rsidR="00B61CC3">
        <w:t xml:space="preserve"> geweest om zoveel mogelijk projectfinanciering te krijgen om op die manier zelfstandig te kunnen opereren. Dit is al enkele jaren het geval. </w:t>
      </w:r>
      <w:r w:rsidR="00B61CC3" w:rsidRPr="00B26514">
        <w:t>We worden regelmatig benaderd om deel te nemen in projecten of om projecten te initiëren en te coördineren</w:t>
      </w:r>
      <w:r w:rsidR="00B61CC3">
        <w:t xml:space="preserve">. </w:t>
      </w:r>
      <w:r w:rsidR="00B61CC3" w:rsidRPr="00B26514">
        <w:t xml:space="preserve">Projectfinanciering komt onder meer van bedrijven, ministeries en NWO. </w:t>
      </w:r>
    </w:p>
    <w:p w14:paraId="483ED5AA" w14:textId="61552D4D" w:rsidR="00B03AE0" w:rsidRPr="00B61CC3" w:rsidRDefault="00B61CC3" w:rsidP="00B26514">
      <w:pPr>
        <w:rPr>
          <w:b/>
        </w:rPr>
      </w:pPr>
      <w:r>
        <w:t xml:space="preserve">De totale omzet van 2016 was </w:t>
      </w:r>
      <w:r w:rsidR="001A72A2">
        <w:t>€ </w:t>
      </w:r>
      <w:r>
        <w:rPr>
          <w:b/>
        </w:rPr>
        <w:t xml:space="preserve">646.104,-. </w:t>
      </w:r>
    </w:p>
    <w:p w14:paraId="2D97AF21" w14:textId="7153DB88" w:rsidR="00B03AE0" w:rsidRPr="002B61F9" w:rsidRDefault="00B03AE0" w:rsidP="002B61F9">
      <w:pPr>
        <w:rPr>
          <w:rFonts w:cs="Tw Cen MT"/>
          <w:color w:val="000000"/>
          <w:sz w:val="23"/>
          <w:szCs w:val="23"/>
        </w:rPr>
      </w:pPr>
      <w:r w:rsidRPr="00B26514">
        <w:t xml:space="preserve">Van dit bedrag is </w:t>
      </w:r>
      <w:r w:rsidR="001A72A2">
        <w:t>€ </w:t>
      </w:r>
      <w:r w:rsidR="002B61F9">
        <w:rPr>
          <w:rFonts w:cs="Tw Cen MT"/>
          <w:color w:val="000000"/>
          <w:sz w:val="23"/>
          <w:szCs w:val="23"/>
        </w:rPr>
        <w:t xml:space="preserve">259.246 </w:t>
      </w:r>
      <w:r w:rsidRPr="00B26514">
        <w:t>voor</w:t>
      </w:r>
      <w:r w:rsidR="002B61F9">
        <w:t xml:space="preserve"> de personeelskosten en sociale lasten van Het groene Brein, </w:t>
      </w:r>
      <w:r w:rsidRPr="00B26514">
        <w:t xml:space="preserve"> </w:t>
      </w:r>
      <w:r w:rsidR="001A72A2">
        <w:t>€ </w:t>
      </w:r>
      <w:r w:rsidR="00F61870">
        <w:t>313.436</w:t>
      </w:r>
      <w:r w:rsidR="00F61870">
        <w:t>,-</w:t>
      </w:r>
      <w:r w:rsidR="001A72A2">
        <w:t xml:space="preserve"> </w:t>
      </w:r>
      <w:r w:rsidRPr="00B26514">
        <w:t>voor inhuur derden en</w:t>
      </w:r>
      <w:r w:rsidR="002B61F9">
        <w:t xml:space="preserve"> </w:t>
      </w:r>
      <w:r w:rsidR="002B61F9">
        <w:t>€ </w:t>
      </w:r>
      <w:r w:rsidR="002B61F9">
        <w:rPr>
          <w:rFonts w:cs="Tw Cen MT"/>
          <w:color w:val="000000"/>
          <w:sz w:val="23"/>
          <w:szCs w:val="23"/>
        </w:rPr>
        <w:t xml:space="preserve">69.762 </w:t>
      </w:r>
      <w:r w:rsidR="002B61F9">
        <w:rPr>
          <w:rFonts w:cs="Tw Cen MT"/>
          <w:color w:val="000000"/>
          <w:sz w:val="23"/>
          <w:szCs w:val="23"/>
        </w:rPr>
        <w:t>voor</w:t>
      </w:r>
      <w:r w:rsidRPr="00B26514">
        <w:t xml:space="preserve"> overige </w:t>
      </w:r>
      <w:r w:rsidR="002B61F9">
        <w:t>bedrijfs</w:t>
      </w:r>
      <w:r w:rsidRPr="00B26514">
        <w:t>kosten.</w:t>
      </w:r>
      <w:r w:rsidRPr="00B26514">
        <w:rPr>
          <w:b/>
        </w:rPr>
        <w:t xml:space="preserve"> </w:t>
      </w:r>
    </w:p>
    <w:p w14:paraId="2F264CB2" w14:textId="3919EC43" w:rsidR="000C4328" w:rsidRPr="00B26514" w:rsidRDefault="00984DD8" w:rsidP="002B61F9"/>
    <w:sectPr w:rsidR="000C4328" w:rsidRPr="00B2651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F4F3E" w14:textId="77777777" w:rsidR="00984DD8" w:rsidRDefault="00984DD8" w:rsidP="005C65E5">
      <w:pPr>
        <w:spacing w:after="0" w:line="240" w:lineRule="auto"/>
      </w:pPr>
      <w:r>
        <w:separator/>
      </w:r>
    </w:p>
  </w:endnote>
  <w:endnote w:type="continuationSeparator" w:id="0">
    <w:p w14:paraId="78B1FDAD" w14:textId="77777777" w:rsidR="00984DD8" w:rsidRDefault="00984DD8" w:rsidP="005C6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w Cen MT">
    <w:altName w:val="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E5330" w14:textId="77777777" w:rsidR="00984DD8" w:rsidRDefault="00984DD8" w:rsidP="005C65E5">
      <w:pPr>
        <w:spacing w:after="0" w:line="240" w:lineRule="auto"/>
      </w:pPr>
      <w:r>
        <w:separator/>
      </w:r>
    </w:p>
  </w:footnote>
  <w:footnote w:type="continuationSeparator" w:id="0">
    <w:p w14:paraId="0A84B0F2" w14:textId="77777777" w:rsidR="00984DD8" w:rsidRDefault="00984DD8" w:rsidP="005C65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C299A" w14:textId="77777777" w:rsidR="005C65E5" w:rsidRDefault="005C65E5" w:rsidP="005C65E5">
    <w:pPr>
      <w:pStyle w:val="Koptekst"/>
      <w:jc w:val="center"/>
    </w:pPr>
    <w:r>
      <w:rPr>
        <w:noProof/>
        <w:lang w:eastAsia="nl-NL"/>
      </w:rPr>
      <w:drawing>
        <wp:inline distT="0" distB="0" distL="0" distR="0" wp14:anchorId="55CADFD6" wp14:editId="62FA0848">
          <wp:extent cx="1727200" cy="679114"/>
          <wp:effectExtent l="0" t="0" r="0" b="698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HGB2017.jpeg"/>
                  <pic:cNvPicPr/>
                </pic:nvPicPr>
                <pic:blipFill>
                  <a:blip r:embed="rId1">
                    <a:extLst>
                      <a:ext uri="{28A0092B-C50C-407E-A947-70E740481C1C}">
                        <a14:useLocalDpi xmlns:a14="http://schemas.microsoft.com/office/drawing/2010/main" val="0"/>
                      </a:ext>
                    </a:extLst>
                  </a:blip>
                  <a:stretch>
                    <a:fillRect/>
                  </a:stretch>
                </pic:blipFill>
                <pic:spPr>
                  <a:xfrm>
                    <a:off x="0" y="0"/>
                    <a:ext cx="1740683" cy="68441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31263"/>
    <w:multiLevelType w:val="hybridMultilevel"/>
    <w:tmpl w:val="4C408E8A"/>
    <w:lvl w:ilvl="0" w:tplc="5EEAC9FC">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44D57"/>
    <w:multiLevelType w:val="hybridMultilevel"/>
    <w:tmpl w:val="9EB63328"/>
    <w:lvl w:ilvl="0" w:tplc="18C4945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334D3"/>
    <w:multiLevelType w:val="hybridMultilevel"/>
    <w:tmpl w:val="9A44A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5574FB"/>
    <w:multiLevelType w:val="hybridMultilevel"/>
    <w:tmpl w:val="94DE9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B7A1D"/>
    <w:multiLevelType w:val="hybridMultilevel"/>
    <w:tmpl w:val="098A3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021D80"/>
    <w:multiLevelType w:val="hybridMultilevel"/>
    <w:tmpl w:val="F17A562A"/>
    <w:lvl w:ilvl="0" w:tplc="8A509BE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959DA"/>
    <w:multiLevelType w:val="hybridMultilevel"/>
    <w:tmpl w:val="915C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47C5F"/>
    <w:multiLevelType w:val="hybridMultilevel"/>
    <w:tmpl w:val="54522B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3E63C48"/>
    <w:multiLevelType w:val="hybridMultilevel"/>
    <w:tmpl w:val="995272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07B741A"/>
    <w:multiLevelType w:val="hybridMultilevel"/>
    <w:tmpl w:val="BDEC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D65E63"/>
    <w:multiLevelType w:val="hybridMultilevel"/>
    <w:tmpl w:val="9D6CB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836540"/>
    <w:multiLevelType w:val="hybridMultilevel"/>
    <w:tmpl w:val="16B8D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F410613"/>
    <w:multiLevelType w:val="hybridMultilevel"/>
    <w:tmpl w:val="6640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2A4DAE"/>
    <w:multiLevelType w:val="multilevel"/>
    <w:tmpl w:val="BDF4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2E518D"/>
    <w:multiLevelType w:val="hybridMultilevel"/>
    <w:tmpl w:val="9224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6C4C7045"/>
    <w:multiLevelType w:val="hybridMultilevel"/>
    <w:tmpl w:val="A386C7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CC3414F"/>
    <w:multiLevelType w:val="hybridMultilevel"/>
    <w:tmpl w:val="71624B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AFD1039"/>
    <w:multiLevelType w:val="hybridMultilevel"/>
    <w:tmpl w:val="459E2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2"/>
  </w:num>
  <w:num w:numId="4">
    <w:abstractNumId w:val="9"/>
  </w:num>
  <w:num w:numId="5">
    <w:abstractNumId w:val="1"/>
  </w:num>
  <w:num w:numId="6">
    <w:abstractNumId w:val="5"/>
  </w:num>
  <w:num w:numId="7">
    <w:abstractNumId w:val="0"/>
  </w:num>
  <w:num w:numId="8">
    <w:abstractNumId w:val="17"/>
  </w:num>
  <w:num w:numId="9">
    <w:abstractNumId w:val="8"/>
  </w:num>
  <w:num w:numId="10">
    <w:abstractNumId w:val="15"/>
  </w:num>
  <w:num w:numId="11">
    <w:abstractNumId w:val="7"/>
  </w:num>
  <w:num w:numId="12">
    <w:abstractNumId w:val="14"/>
  </w:num>
  <w:num w:numId="13">
    <w:abstractNumId w:val="11"/>
  </w:num>
  <w:num w:numId="14">
    <w:abstractNumId w:val="4"/>
  </w:num>
  <w:num w:numId="15">
    <w:abstractNumId w:val="13"/>
  </w:num>
  <w:num w:numId="16">
    <w:abstractNumId w:val="2"/>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AA"/>
    <w:rsid w:val="00082D6E"/>
    <w:rsid w:val="000E1F16"/>
    <w:rsid w:val="001A72A2"/>
    <w:rsid w:val="002B61F9"/>
    <w:rsid w:val="0034185A"/>
    <w:rsid w:val="00392BFE"/>
    <w:rsid w:val="003A0A46"/>
    <w:rsid w:val="003E061A"/>
    <w:rsid w:val="004930DD"/>
    <w:rsid w:val="005C65E5"/>
    <w:rsid w:val="00657D69"/>
    <w:rsid w:val="006955B8"/>
    <w:rsid w:val="007859C5"/>
    <w:rsid w:val="00950063"/>
    <w:rsid w:val="00984DD8"/>
    <w:rsid w:val="009B3DB4"/>
    <w:rsid w:val="00A51E1A"/>
    <w:rsid w:val="00A82556"/>
    <w:rsid w:val="00B03AE0"/>
    <w:rsid w:val="00B26514"/>
    <w:rsid w:val="00B61CC3"/>
    <w:rsid w:val="00B71381"/>
    <w:rsid w:val="00BB76AA"/>
    <w:rsid w:val="00CE528B"/>
    <w:rsid w:val="00D647CC"/>
    <w:rsid w:val="00DB5649"/>
    <w:rsid w:val="00E05B90"/>
    <w:rsid w:val="00E71C51"/>
    <w:rsid w:val="00ED7B21"/>
    <w:rsid w:val="00EE6AF7"/>
    <w:rsid w:val="00F26CE0"/>
    <w:rsid w:val="00F45CF3"/>
    <w:rsid w:val="00F618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8F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Teken"/>
    <w:uiPriority w:val="9"/>
    <w:qFormat/>
    <w:rsid w:val="00B26514"/>
    <w:pPr>
      <w:keepNext/>
      <w:keepLines/>
      <w:spacing w:before="480" w:after="0"/>
      <w:outlineLvl w:val="0"/>
    </w:pPr>
    <w:rPr>
      <w:rFonts w:asciiTheme="majorHAnsi" w:eastAsiaTheme="majorEastAsia" w:hAnsiTheme="majorHAnsi" w:cstheme="majorBidi"/>
      <w:b/>
      <w:bCs/>
      <w:color w:val="3E762A" w:themeColor="accent1" w:themeShade="BF"/>
      <w:sz w:val="28"/>
      <w:szCs w:val="28"/>
    </w:rPr>
  </w:style>
  <w:style w:type="paragraph" w:styleId="Kop2">
    <w:name w:val="heading 2"/>
    <w:basedOn w:val="Standaard"/>
    <w:next w:val="Standaard"/>
    <w:link w:val="Kop2Teken"/>
    <w:uiPriority w:val="9"/>
    <w:unhideWhenUsed/>
    <w:qFormat/>
    <w:rsid w:val="00D647CC"/>
    <w:pPr>
      <w:keepNext/>
      <w:keepLines/>
      <w:spacing w:before="40" w:after="0"/>
      <w:outlineLvl w:val="1"/>
    </w:pPr>
    <w:rPr>
      <w:rFonts w:asciiTheme="majorHAnsi" w:eastAsiaTheme="majorEastAsia" w:hAnsiTheme="majorHAnsi" w:cstheme="majorBidi"/>
      <w:color w:val="3E762A"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930D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4930DD"/>
    <w:rPr>
      <w:b/>
      <w:bCs/>
    </w:rPr>
  </w:style>
  <w:style w:type="character" w:customStyle="1" w:styleId="apple-converted-space">
    <w:name w:val="apple-converted-space"/>
    <w:basedOn w:val="Standaardalinea-lettertype"/>
    <w:rsid w:val="004930DD"/>
  </w:style>
  <w:style w:type="paragraph" w:styleId="Geenafstand">
    <w:name w:val="No Spacing"/>
    <w:uiPriority w:val="1"/>
    <w:qFormat/>
    <w:rsid w:val="004930DD"/>
    <w:pPr>
      <w:spacing w:after="0" w:line="240" w:lineRule="auto"/>
    </w:pPr>
  </w:style>
  <w:style w:type="paragraph" w:styleId="Lijstalinea">
    <w:name w:val="List Paragraph"/>
    <w:basedOn w:val="Standaard"/>
    <w:uiPriority w:val="34"/>
    <w:qFormat/>
    <w:rsid w:val="004930DD"/>
    <w:pPr>
      <w:ind w:left="720"/>
      <w:contextualSpacing/>
    </w:pPr>
  </w:style>
  <w:style w:type="character" w:styleId="Hyperlink">
    <w:name w:val="Hyperlink"/>
    <w:basedOn w:val="Standaardalinea-lettertype"/>
    <w:uiPriority w:val="99"/>
    <w:unhideWhenUsed/>
    <w:rsid w:val="00B03AE0"/>
    <w:rPr>
      <w:color w:val="0000FF"/>
      <w:u w:val="single"/>
    </w:rPr>
  </w:style>
  <w:style w:type="table" w:styleId="Tabelraster">
    <w:name w:val="Table Grid"/>
    <w:basedOn w:val="Standaardtabel"/>
    <w:uiPriority w:val="59"/>
    <w:rsid w:val="00B03AE0"/>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9"/>
    <w:rsid w:val="00B26514"/>
    <w:rPr>
      <w:rFonts w:asciiTheme="majorHAnsi" w:eastAsiaTheme="majorEastAsia" w:hAnsiTheme="majorHAnsi" w:cstheme="majorBidi"/>
      <w:b/>
      <w:bCs/>
      <w:color w:val="3E762A" w:themeColor="accent1" w:themeShade="BF"/>
      <w:sz w:val="28"/>
      <w:szCs w:val="28"/>
    </w:rPr>
  </w:style>
  <w:style w:type="paragraph" w:styleId="Titel">
    <w:name w:val="Title"/>
    <w:basedOn w:val="Standaard"/>
    <w:next w:val="Standaard"/>
    <w:link w:val="TitelTeken"/>
    <w:uiPriority w:val="10"/>
    <w:qFormat/>
    <w:rsid w:val="001A72A2"/>
    <w:pPr>
      <w:pBdr>
        <w:bottom w:val="single" w:sz="8" w:space="4" w:color="549E39" w:themeColor="accent1"/>
      </w:pBdr>
      <w:spacing w:after="300" w:line="240" w:lineRule="auto"/>
      <w:contextualSpacing/>
    </w:pPr>
    <w:rPr>
      <w:rFonts w:asciiTheme="majorHAnsi" w:eastAsiaTheme="majorEastAsia" w:hAnsiTheme="majorHAnsi" w:cstheme="majorBidi"/>
      <w:color w:val="33473C" w:themeColor="text2" w:themeShade="BF"/>
      <w:spacing w:val="5"/>
      <w:kern w:val="28"/>
      <w:sz w:val="52"/>
      <w:szCs w:val="52"/>
    </w:rPr>
  </w:style>
  <w:style w:type="character" w:customStyle="1" w:styleId="TitelTeken">
    <w:name w:val="Titel Teken"/>
    <w:basedOn w:val="Standaardalinea-lettertype"/>
    <w:link w:val="Titel"/>
    <w:uiPriority w:val="10"/>
    <w:rsid w:val="001A72A2"/>
    <w:rPr>
      <w:rFonts w:asciiTheme="majorHAnsi" w:eastAsiaTheme="majorEastAsia" w:hAnsiTheme="majorHAnsi" w:cstheme="majorBidi"/>
      <w:color w:val="33473C" w:themeColor="text2" w:themeShade="BF"/>
      <w:spacing w:val="5"/>
      <w:kern w:val="28"/>
      <w:sz w:val="52"/>
      <w:szCs w:val="52"/>
    </w:rPr>
  </w:style>
  <w:style w:type="paragraph" w:styleId="Koptekst">
    <w:name w:val="header"/>
    <w:basedOn w:val="Standaard"/>
    <w:link w:val="KoptekstTeken"/>
    <w:uiPriority w:val="99"/>
    <w:unhideWhenUsed/>
    <w:rsid w:val="005C65E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5C65E5"/>
  </w:style>
  <w:style w:type="paragraph" w:styleId="Voettekst">
    <w:name w:val="footer"/>
    <w:basedOn w:val="Standaard"/>
    <w:link w:val="VoettekstTeken"/>
    <w:uiPriority w:val="99"/>
    <w:unhideWhenUsed/>
    <w:rsid w:val="005C65E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5C65E5"/>
  </w:style>
  <w:style w:type="paragraph" w:styleId="Ondertitel">
    <w:name w:val="Subtitle"/>
    <w:basedOn w:val="Standaard"/>
    <w:next w:val="Standaard"/>
    <w:link w:val="OndertitelTeken"/>
    <w:uiPriority w:val="11"/>
    <w:qFormat/>
    <w:rsid w:val="00A82556"/>
    <w:pPr>
      <w:numPr>
        <w:ilvl w:val="1"/>
      </w:numPr>
      <w:spacing w:after="160"/>
    </w:pPr>
    <w:rPr>
      <w:rFonts w:eastAsiaTheme="minorEastAsia"/>
      <w:color w:val="5A5A5A" w:themeColor="text1" w:themeTint="A5"/>
      <w:spacing w:val="15"/>
    </w:rPr>
  </w:style>
  <w:style w:type="character" w:customStyle="1" w:styleId="OndertitelTeken">
    <w:name w:val="Ondertitel Teken"/>
    <w:basedOn w:val="Standaardalinea-lettertype"/>
    <w:link w:val="Ondertitel"/>
    <w:uiPriority w:val="11"/>
    <w:rsid w:val="00A82556"/>
    <w:rPr>
      <w:rFonts w:eastAsiaTheme="minorEastAsia"/>
      <w:color w:val="5A5A5A" w:themeColor="text1" w:themeTint="A5"/>
      <w:spacing w:val="15"/>
    </w:rPr>
  </w:style>
  <w:style w:type="table" w:styleId="Rastertabel1licht-accent1">
    <w:name w:val="Grid Table 1 Light Accent 1"/>
    <w:basedOn w:val="Standaardtabel"/>
    <w:uiPriority w:val="46"/>
    <w:rsid w:val="00E05B90"/>
    <w:pPr>
      <w:spacing w:after="0" w:line="240" w:lineRule="auto"/>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Rastertabel5donker-accent1">
    <w:name w:val="Grid Table 5 Dark Accent 1"/>
    <w:basedOn w:val="Standaardtabel"/>
    <w:uiPriority w:val="50"/>
    <w:rsid w:val="00D647C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character" w:customStyle="1" w:styleId="Kop2Teken">
    <w:name w:val="Kop 2 Teken"/>
    <w:basedOn w:val="Standaardalinea-lettertype"/>
    <w:link w:val="Kop2"/>
    <w:uiPriority w:val="9"/>
    <w:rsid w:val="00D647CC"/>
    <w:rPr>
      <w:rFonts w:asciiTheme="majorHAnsi" w:eastAsiaTheme="majorEastAsia" w:hAnsiTheme="majorHAnsi" w:cstheme="majorBidi"/>
      <w:color w:val="3E762A" w:themeColor="accent1" w:themeShade="BF"/>
      <w:sz w:val="26"/>
      <w:szCs w:val="26"/>
    </w:rPr>
  </w:style>
  <w:style w:type="paragraph" w:customStyle="1" w:styleId="Pa0">
    <w:name w:val="Pa0"/>
    <w:basedOn w:val="Standaard"/>
    <w:next w:val="Standaard"/>
    <w:uiPriority w:val="99"/>
    <w:rsid w:val="002B61F9"/>
    <w:pPr>
      <w:widowControl w:val="0"/>
      <w:autoSpaceDE w:val="0"/>
      <w:autoSpaceDN w:val="0"/>
      <w:adjustRightInd w:val="0"/>
      <w:spacing w:after="0" w:line="241" w:lineRule="atLeast"/>
    </w:pPr>
    <w:rPr>
      <w:rFonts w:ascii="Tw Cen MT" w:hAnsi="Tw Cen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28016">
      <w:bodyDiv w:val="1"/>
      <w:marLeft w:val="0"/>
      <w:marRight w:val="0"/>
      <w:marTop w:val="0"/>
      <w:marBottom w:val="0"/>
      <w:divBdr>
        <w:top w:val="none" w:sz="0" w:space="0" w:color="auto"/>
        <w:left w:val="none" w:sz="0" w:space="0" w:color="auto"/>
        <w:bottom w:val="none" w:sz="0" w:space="0" w:color="auto"/>
        <w:right w:val="none" w:sz="0" w:space="0" w:color="auto"/>
      </w:divBdr>
    </w:div>
    <w:div w:id="1746342434">
      <w:bodyDiv w:val="1"/>
      <w:marLeft w:val="0"/>
      <w:marRight w:val="0"/>
      <w:marTop w:val="0"/>
      <w:marBottom w:val="0"/>
      <w:divBdr>
        <w:top w:val="none" w:sz="0" w:space="0" w:color="auto"/>
        <w:left w:val="none" w:sz="0" w:space="0" w:color="auto"/>
        <w:bottom w:val="none" w:sz="0" w:space="0" w:color="auto"/>
        <w:right w:val="none" w:sz="0" w:space="0" w:color="auto"/>
      </w:divBdr>
      <w:divsChild>
        <w:div w:id="9457842">
          <w:marLeft w:val="0"/>
          <w:marRight w:val="0"/>
          <w:marTop w:val="0"/>
          <w:marBottom w:val="0"/>
          <w:divBdr>
            <w:top w:val="none" w:sz="0" w:space="0" w:color="auto"/>
            <w:left w:val="none" w:sz="0" w:space="0" w:color="auto"/>
            <w:bottom w:val="none" w:sz="0" w:space="0" w:color="auto"/>
            <w:right w:val="none" w:sz="0" w:space="0" w:color="auto"/>
          </w:divBdr>
          <w:divsChild>
            <w:div w:id="1860120342">
              <w:marLeft w:val="0"/>
              <w:marRight w:val="0"/>
              <w:marTop w:val="0"/>
              <w:marBottom w:val="0"/>
              <w:divBdr>
                <w:top w:val="none" w:sz="0" w:space="0" w:color="auto"/>
                <w:left w:val="none" w:sz="0" w:space="0" w:color="auto"/>
                <w:bottom w:val="none" w:sz="0" w:space="0" w:color="auto"/>
                <w:right w:val="none" w:sz="0" w:space="0" w:color="auto"/>
              </w:divBdr>
              <w:divsChild>
                <w:div w:id="112289025">
                  <w:marLeft w:val="0"/>
                  <w:marRight w:val="0"/>
                  <w:marTop w:val="0"/>
                  <w:marBottom w:val="0"/>
                  <w:divBdr>
                    <w:top w:val="none" w:sz="0" w:space="0" w:color="auto"/>
                    <w:left w:val="none" w:sz="0" w:space="0" w:color="auto"/>
                    <w:bottom w:val="none" w:sz="0" w:space="0" w:color="auto"/>
                    <w:right w:val="none" w:sz="0" w:space="0" w:color="auto"/>
                  </w:divBdr>
                  <w:divsChild>
                    <w:div w:id="897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hetgroenebrein.nl/wp-content/uploads/2017/05/Jaarverslag2016HGB_final-1.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Gro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1244</Words>
  <Characters>6845</Characters>
  <Application>Microsoft Macintosh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dc:creator>
  <cp:lastModifiedBy>Carien van der Have</cp:lastModifiedBy>
  <cp:revision>3</cp:revision>
  <dcterms:created xsi:type="dcterms:W3CDTF">2017-11-09T13:26:00Z</dcterms:created>
  <dcterms:modified xsi:type="dcterms:W3CDTF">2017-11-09T15:49:00Z</dcterms:modified>
</cp:coreProperties>
</file>